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2024 165 vom 2. April 2025</w:t>
      </w:r>
    </w:p>
    <w:p>
      <w:r>
        <w:t>BL Gerichte, 2025-04-02, DE</w:t>
      </w:r>
    </w:p>
    <w:p>
      <w:r>
        <w:rPr>
          <w:b/>
        </w:rPr>
        <w:t xml:space="preserve">Quelle: </w:t>
      </w:r>
      <w:r>
        <w:t>https://mcp.opencaselaw.ch/entscheid/bl_gerichte_810 2024 165</w:t>
      </w:r>
    </w:p>
    <w:p>
      <w:r>
        <w:t>FR: BL_GERICHTE 810 2024 165 du 2 avril 2025</w:t>
      </w:r>
    </w:p>
    <w:p>
      <w:r>
        <w:t>IT: BL_GERICHTE 810 2024 165 del 2 aprile 2025</w:t>
      </w:r>
    </w:p>
    <w:p>
      <w:pPr>
        <w:pStyle w:val="Heading2"/>
      </w:pPr>
      <w:r>
        <w:t>Regeste</w:t>
      </w:r>
    </w:p>
    <w:p>
      <w:r>
        <w:t>Antrag einer Lehrperson mit stufenfremder Ausbildung auf Änderung des Lohnbandes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1'500.-- werden dem Beschwerdeführer auferlegt und mit dem geleisteten Kostenvorschuss in gleicher Höhe verrechnet.</w:t>
      </w:r>
    </w:p>
    <w:p>
      <w:r>
        <w:rPr>
          <w:b/>
        </w:rPr>
        <w:t>E. 3</w:t>
      </w:r>
    </w:p>
    <w:p>
      <w:r>
        <w:t>Die Parteikosten werden wettgeschlagen. 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